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C9B" w14:textId="77777777" w:rsidR="0026225C" w:rsidRPr="0026225C" w:rsidRDefault="0026225C" w:rsidP="0026225C">
      <w:pPr>
        <w:shd w:val="clear" w:color="auto" w:fill="FFFFFF"/>
        <w:spacing w:after="120" w:line="276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  <w:t>LTL Control in Uncertain Environments with Probabilistic Satisfaction Guarantees</w:t>
      </w:r>
    </w:p>
    <w:p w14:paraId="2FA17F81" w14:textId="77777777" w:rsidR="0026225C" w:rsidRP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Xu Chu (Dennis) Ding, Stephen L. Smith, Calin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, and Daniela Rus</w:t>
      </w:r>
    </w:p>
    <w:p w14:paraId="61A541D1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Hybrid and Networked Systems Laboratory, Boston University {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xcding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(at)bu.edu,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cbelta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(at)bu.edu}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Department of Electrical and Computer Engineering, University of Waterloo {stephen.smith@uwaterloo.ca}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Distributed Robotics Laboratory, Massachusetts Institute of Technology {rus@csail.mit.edu}</w:t>
      </w:r>
    </w:p>
    <w:p w14:paraId="1BDAD37B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The MSL (Maximal Satisfiability LTL) toolbox automatically generates an optimal control policy for a Markov Decision Process (MDP) that maximizes the probability of satisfying a Linear Temporal Logic (LTL) formula. For more detail of the algorithm that produces the policy, please see </w:t>
      </w:r>
      <w:hyperlink r:id="rId5" w:anchor="1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[1]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. Note in </w:t>
      </w:r>
      <w:hyperlink r:id="rId6" w:anchor="1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[1]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 we model the system with probabilistic observations and convert the system model to an MDP, we then use this software to generate the policy. This software calls open source software </w:t>
      </w:r>
      <w:hyperlink r:id="rId7" w:anchor="2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[2]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 and </w:t>
      </w:r>
      <w:hyperlink r:id="rId8" w:anchor="3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[3]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</w:p>
    <w:p w14:paraId="34EFE662" w14:textId="77777777" w:rsidR="0026225C" w:rsidRPr="0026225C" w:rsidRDefault="0026225C" w:rsidP="0026225C">
      <w:pPr>
        <w:spacing w:after="336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26225C">
        <w:rPr>
          <w:rFonts w:ascii="Times New Roman" w:eastAsia="Times New Roman" w:hAnsi="Times New Roman" w:cs="Times New Roman"/>
          <w:kern w:val="0"/>
          <w14:ligatures w14:val="none"/>
        </w:rPr>
        <w:pict w14:anchorId="2703EC77">
          <v:rect id="_x0000_i1035" style="width:0;height:1.5pt" o:hrstd="t" o:hrnoshade="t" o:hr="t" fillcolor="#333" stroked="f"/>
        </w:pict>
      </w:r>
    </w:p>
    <w:p w14:paraId="72660920" w14:textId="77777777" w:rsidR="0026225C" w:rsidRP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  <w:t>Requirements</w:t>
      </w:r>
    </w:p>
    <w:p w14:paraId="4F79146C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– Mac OS X 10.6, </w:t>
      </w: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Linux</w:t>
      </w:r>
      <w:proofErr w:type="gram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Windows (Linux and Windows should work, but let me know if there is any issue)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– MATLAB 2010b or later with Bioinformatics toolbox (for SCC computation)</w:t>
      </w:r>
    </w:p>
    <w:p w14:paraId="7311608D" w14:textId="77777777" w:rsidR="0026225C" w:rsidRPr="0026225C" w:rsidRDefault="0026225C" w:rsidP="0026225C">
      <w:pPr>
        <w:shd w:val="clear" w:color="auto" w:fill="FFFFFF"/>
        <w:spacing w:after="0"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Download</w:t>
      </w:r>
    </w:p>
    <w:p w14:paraId="7CB201F2" w14:textId="24C58524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hyperlink r:id="rId9" w:history="1">
        <w:hyperlink r:id="rId10" w:history="1">
          <w:r w:rsidRPr="0026225C">
            <w:rPr>
              <w:rStyle w:val="Hyperlink"/>
              <w:rFonts w:ascii="Helvetica" w:eastAsia="Times New Roman" w:hAnsi="Helvetica" w:cs="Helvetica"/>
              <w:kern w:val="0"/>
              <w:bdr w:val="none" w:sz="0" w:space="0" w:color="auto" w:frame="1"/>
              <w14:ligatures w14:val="none"/>
            </w:rPr>
            <w:t>MSL package</w:t>
          </w:r>
        </w:hyperlink>
      </w:hyperlink>
    </w:p>
    <w:p w14:paraId="0E827324" w14:textId="77777777" w:rsid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5401A383" w14:textId="48916FFF" w:rsidR="0026225C" w:rsidRP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  <w:t>How to use</w:t>
      </w:r>
    </w:p>
    <w:p w14:paraId="5DEAC981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[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optProb_init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maxProb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policy,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policyForAMECstates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] = </w:t>
      </w:r>
      <w:proofErr w:type="spellStart"/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LTLmaxProb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(</w:t>
      </w:r>
      <w:proofErr w:type="spellStart"/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MDPdata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, formula)</w:t>
      </w:r>
    </w:p>
    <w:p w14:paraId="13414FCE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Input:</w:t>
      </w:r>
    </w:p>
    <w:p w14:paraId="4B9F4191" w14:textId="77777777" w:rsidR="0026225C" w:rsidRPr="0026225C" w:rsidRDefault="0026225C" w:rsidP="0026225C">
      <w:pPr>
        <w:numPr>
          <w:ilvl w:val="0"/>
          <w:numId w:val="1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MDPdata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: string containing the name of file where the MDP data is stored.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Exepcted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data: struct M with fields:</w:t>
      </w:r>
    </w:p>
    <w:p w14:paraId="37A32634" w14:textId="77777777" w:rsidR="0026225C" w:rsidRPr="0026225C" w:rsidRDefault="0026225C" w:rsidP="0026225C">
      <w:pPr>
        <w:numPr>
          <w:ilvl w:val="1"/>
          <w:numId w:val="2"/>
        </w:numPr>
        <w:spacing w:after="0" w:line="360" w:lineRule="atLeast"/>
        <w:ind w:left="1920" w:right="96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M.P: cell array of sparse transition matrices, one for each action (matrices must be same dimension, which is state-size times state-size)</w:t>
      </w:r>
    </w:p>
    <w:p w14:paraId="08FD5A28" w14:textId="77777777" w:rsidR="0026225C" w:rsidRPr="0026225C" w:rsidRDefault="0026225C" w:rsidP="0026225C">
      <w:pPr>
        <w:numPr>
          <w:ilvl w:val="1"/>
          <w:numId w:val="3"/>
        </w:numPr>
        <w:spacing w:after="0" w:line="360" w:lineRule="atLeast"/>
        <w:ind w:left="1920" w:right="96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lastRenderedPageBreak/>
        <w:t>M.Q0: initial state</w:t>
      </w:r>
    </w:p>
    <w:p w14:paraId="7A786C05" w14:textId="77777777" w:rsidR="0026225C" w:rsidRPr="0026225C" w:rsidRDefault="0026225C" w:rsidP="0026225C">
      <w:pPr>
        <w:numPr>
          <w:ilvl w:val="1"/>
          <w:numId w:val="4"/>
        </w:numPr>
        <w:spacing w:after="0" w:line="360" w:lineRule="atLeast"/>
        <w:ind w:left="1920" w:right="96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Rest</w:t>
      </w:r>
      <w:proofErr w:type="gram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of fields are for observation labels. E.g., if there are two observations A and B, then M.A is the vector of states with observation A and M.B is the vector of states with observation B. A state can have multiple </w:t>
      </w: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observations</w:t>
      </w:r>
      <w:proofErr w:type="gramEnd"/>
    </w:p>
    <w:p w14:paraId="78D5048F" w14:textId="77777777" w:rsidR="0026225C" w:rsidRPr="0026225C" w:rsidRDefault="0026225C" w:rsidP="0026225C">
      <w:pPr>
        <w:numPr>
          <w:ilvl w:val="0"/>
          <w:numId w:val="5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formula: string of LTL formula in prefix format. See </w:t>
      </w:r>
      <w:hyperlink r:id="rId11" w:anchor="ltl-formulas" w:tgtFrame="_blank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here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 for syntax. Note: The set of atomic propositions in the formula must be the same set as the set of observations of the MDP</w:t>
      </w:r>
    </w:p>
    <w:p w14:paraId="1F1CCED3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Output:</w:t>
      </w:r>
    </w:p>
    <w:p w14:paraId="2F372548" w14:textId="77777777" w:rsidR="0026225C" w:rsidRPr="0026225C" w:rsidRDefault="0026225C" w:rsidP="0026225C">
      <w:pPr>
        <w:numPr>
          <w:ilvl w:val="0"/>
          <w:numId w:val="6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optProb_init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: maximal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probablity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of satisfying the LTL formula from the initial </w:t>
      </w: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state</w:t>
      </w:r>
      <w:proofErr w:type="gramEnd"/>
    </w:p>
    <w:p w14:paraId="719E1092" w14:textId="77777777" w:rsidR="0026225C" w:rsidRPr="0026225C" w:rsidRDefault="0026225C" w:rsidP="0026225C">
      <w:pPr>
        <w:numPr>
          <w:ilvl w:val="0"/>
          <w:numId w:val="7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maxProb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: the matrix containing maximal probabilities of satisfying the LTL formula. </w:t>
      </w:r>
      <w:proofErr w:type="spellStart"/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maxProb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(</w:t>
      </w:r>
      <w:proofErr w:type="spellStart"/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)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 is the maximal probability of satisfying the formula if the MDP state is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the DRA state is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Rstate</w:t>
      </w:r>
      <w:proofErr w:type="spellEnd"/>
    </w:p>
    <w:p w14:paraId="57EEB3F0" w14:textId="77777777" w:rsidR="0026225C" w:rsidRPr="0026225C" w:rsidRDefault="0026225C" w:rsidP="0026225C">
      <w:pPr>
        <w:numPr>
          <w:ilvl w:val="0"/>
          <w:numId w:val="8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policy: the matrix containing optimal policies maximizing the probability of satisfying the LTL formula. </w:t>
      </w:r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policy(</w:t>
      </w:r>
      <w:proofErr w:type="spellStart"/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)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 is the optimal action to take if the MDP state is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and the DRA state is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. Note: if </w:t>
      </w: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policy(</w:t>
      </w:r>
      <w:proofErr w:type="spellStart"/>
      <w:proofErr w:type="gram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)=0, then it means that a random action with a subset of enabled action can be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take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at this state (reaching this state means that an AMEC is reached), this subset is stored in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policyForAMECstates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(see below)</w:t>
      </w:r>
    </w:p>
    <w:p w14:paraId="7B79E49C" w14:textId="77777777" w:rsidR="0026225C" w:rsidRPr="0026225C" w:rsidRDefault="0026225C" w:rsidP="0026225C">
      <w:pPr>
        <w:numPr>
          <w:ilvl w:val="0"/>
          <w:numId w:val="9"/>
        </w:numPr>
        <w:spacing w:after="0" w:line="360" w:lineRule="atLeast"/>
        <w:ind w:left="960" w:right="480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policyForAMECstates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: Stores the set of actions that can be taken randomly at an AMEC state under the optimal policy. If </w:t>
      </w:r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policy(</w:t>
      </w:r>
      <w:proofErr w:type="spellStart"/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)==0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, then 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policyForAMECstates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{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}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 returns a subset of enabled action at MDP state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Mstate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(if DRA state is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Rstate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) that should be taken randomly under the optimal action. Note: To get the set of such states in some AMEC, simply do: </w:t>
      </w:r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[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Mstates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 xml:space="preserve">, </w:t>
      </w:r>
      <w:proofErr w:type="spellStart"/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Rstates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]=</w:t>
      </w:r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find(policy==0)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. To get the subset of enabled action at these states under the optimal policy, do: </w:t>
      </w:r>
      <w:proofErr w:type="spellStart"/>
      <w:proofErr w:type="gram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getCells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(</w:t>
      </w:r>
      <w:proofErr w:type="spellStart"/>
      <w:proofErr w:type="gram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policyForAMECstates</w:t>
      </w:r>
      <w:proofErr w:type="spellEnd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, find(policy==0))</w:t>
      </w:r>
    </w:p>
    <w:p w14:paraId="1F282CD0" w14:textId="77777777" w:rsid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0E44407E" w14:textId="3D87D5F7" w:rsidR="0026225C" w:rsidRP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  <w:t>Example</w:t>
      </w:r>
    </w:p>
    <w:p w14:paraId="6B6AD326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We show a test case as an example.</w:t>
      </w:r>
    </w:p>
    <w:p w14:paraId="7C334D8A" w14:textId="3358B3D5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noProof/>
          <w:color w:val="333333"/>
          <w:kern w:val="0"/>
          <w14:ligatures w14:val="none"/>
        </w:rPr>
        <w:lastRenderedPageBreak/>
        <w:drawing>
          <wp:inline distT="0" distB="0" distL="0" distR="0" wp14:anchorId="5C9356FD" wp14:editId="29AED61C">
            <wp:extent cx="5943600" cy="877570"/>
            <wp:effectExtent l="0" t="0" r="0" b="0"/>
            <wp:docPr id="1961934137" name="Picture 3" descr="A computer screen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934137" name="Picture 3" descr="A computer screen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2A756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This MDP is stored in </w:t>
      </w:r>
      <w:proofErr w:type="spellStart"/>
      <w:r w:rsidRPr="0026225C">
        <w:rPr>
          <w:rFonts w:ascii="Helvetica" w:eastAsia="Times New Roman" w:hAnsi="Helvetica" w:cs="Helvetica"/>
          <w:b/>
          <w:bCs/>
          <w:color w:val="333333"/>
          <w:kern w:val="0"/>
          <w:bdr w:val="none" w:sz="0" w:space="0" w:color="auto" w:frame="1"/>
          <w14:ligatures w14:val="none"/>
        </w:rPr>
        <w:t>MDP.mat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. This MDP has 608 states, 4 actions and 5 observations “UP”, “UN”, “RI”, “VD” and “RD”. We want to satisfy the LTL </w:t>
      </w:r>
      <w:proofErr w:type="gram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formula</w:t>
      </w:r>
      <w:proofErr w:type="gramEnd"/>
    </w:p>
    <w:p w14:paraId="4D4A5FFD" w14:textId="09ADE8AE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noProof/>
          <w:color w:val="333333"/>
          <w:kern w:val="0"/>
          <w14:ligatures w14:val="none"/>
        </w:rPr>
        <w:drawing>
          <wp:inline distT="0" distB="0" distL="0" distR="0" wp14:anchorId="1B7D05DF" wp14:editId="0C894878">
            <wp:extent cx="3086100" cy="419100"/>
            <wp:effectExtent l="0" t="0" r="0" b="0"/>
            <wp:docPr id="13119032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4D45" w14:textId="77777777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We convert the formula to prefix format and run the software, as below. In this case the Deterministic Rabin Automaton has 17 states</w:t>
      </w:r>
    </w:p>
    <w:p w14:paraId="7F0E1A2B" w14:textId="2F5D6A3C" w:rsidR="0026225C" w:rsidRPr="0026225C" w:rsidRDefault="0026225C" w:rsidP="0026225C">
      <w:pPr>
        <w:shd w:val="clear" w:color="auto" w:fill="FFFFFF"/>
        <w:spacing w:after="336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noProof/>
          <w:color w:val="333333"/>
          <w:kern w:val="0"/>
          <w14:ligatures w14:val="none"/>
        </w:rPr>
        <w:drawing>
          <wp:inline distT="0" distB="0" distL="0" distR="0" wp14:anchorId="26570D50" wp14:editId="39528FA4">
            <wp:extent cx="5943600" cy="1510030"/>
            <wp:effectExtent l="0" t="0" r="0" b="0"/>
            <wp:docPr id="207062681" name="Picture 1" descr="A computer screen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62681" name="Picture 1" descr="A computer screen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D61C" w14:textId="7C834414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This example is included in the</w:t>
      </w:r>
      <w:r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</w:t>
      </w: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software package. </w:t>
      </w:r>
    </w:p>
    <w:p w14:paraId="0557B001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</w:p>
    <w:p w14:paraId="6338DEFD" w14:textId="77777777" w:rsidR="0026225C" w:rsidRPr="0026225C" w:rsidRDefault="0026225C" w:rsidP="0026225C">
      <w:pPr>
        <w:shd w:val="clear" w:color="auto" w:fill="FFFFFF"/>
        <w:spacing w:after="168"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b/>
          <w:bCs/>
          <w:color w:val="333333"/>
          <w:kern w:val="0"/>
          <w14:ligatures w14:val="none"/>
        </w:rPr>
        <w:t>References</w:t>
      </w:r>
    </w:p>
    <w:p w14:paraId="17CF828E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[1] Xu Chu (Dennis) Ding, Stephen L. Smith, Calin </w:t>
      </w:r>
      <w:proofErr w:type="spellStart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, and Daniela. “LTL Control in Uncertain Environments with Probabilistic Satisfaction Guarantees”, IFAC World Congress, Milan, Italy, Aug. 2011 (see technical report </w:t>
      </w:r>
      <w:hyperlink r:id="rId15" w:tgtFrame="_blank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here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).</w:t>
      </w:r>
    </w:p>
    <w:p w14:paraId="0ED0319E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[2] “LTL2DSTAR”, </w:t>
      </w:r>
      <w:hyperlink r:id="rId16" w:tgtFrame="_blank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http://www.ltl2dstar.de/</w:t>
        </w:r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</w:p>
    <w:p w14:paraId="640C3E6E" w14:textId="77777777" w:rsidR="0026225C" w:rsidRPr="0026225C" w:rsidRDefault="0026225C" w:rsidP="0026225C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[3] “LTL2BA,” </w:t>
      </w:r>
      <w:hyperlink r:id="rId17" w:tgtFrame="_blank" w:history="1"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http://www.lsv.ens-cachan.fr/˜</w:t>
        </w:r>
        <w:proofErr w:type="spellStart"/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gastin</w:t>
        </w:r>
        <w:proofErr w:type="spellEnd"/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/ltl2ba/</w:t>
        </w:r>
        <w:proofErr w:type="spellStart"/>
        <w:r w:rsidRPr="0026225C">
          <w:rPr>
            <w:rFonts w:ascii="Helvetica" w:eastAsia="Times New Roman" w:hAnsi="Helvetica" w:cs="Helvetica"/>
            <w:color w:val="3089C2"/>
            <w:kern w:val="0"/>
            <w:u w:val="single"/>
            <w:bdr w:val="none" w:sz="0" w:space="0" w:color="auto" w:frame="1"/>
            <w14:ligatures w14:val="none"/>
          </w:rPr>
          <w:t>index.php</w:t>
        </w:r>
        <w:proofErr w:type="spellEnd"/>
      </w:hyperlink>
      <w:r w:rsidRPr="0026225C">
        <w:rPr>
          <w:rFonts w:ascii="Helvetica" w:eastAsia="Times New Roman" w:hAnsi="Helvetica" w:cs="Helvetica"/>
          <w:color w:val="333333"/>
          <w:kern w:val="0"/>
          <w14:ligatures w14:val="none"/>
        </w:rPr>
        <w:t>.</w:t>
      </w:r>
    </w:p>
    <w:p w14:paraId="1154BED3" w14:textId="77777777" w:rsidR="00047716" w:rsidRPr="0026225C" w:rsidRDefault="00047716"/>
    <w:sectPr w:rsidR="00047716" w:rsidRPr="0026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613"/>
    <w:multiLevelType w:val="multilevel"/>
    <w:tmpl w:val="23C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23BC4"/>
    <w:multiLevelType w:val="multilevel"/>
    <w:tmpl w:val="0E8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066748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11748025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18760006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75789389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 w16cid:durableId="1935778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0818354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48039443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26673887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50177580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C"/>
    <w:rsid w:val="00047716"/>
    <w:rsid w:val="002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E191"/>
  <w15:chartTrackingRefBased/>
  <w15:docId w15:val="{091C4869-4C19-4928-95CD-0DB03EC3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262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25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6225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6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622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2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bu.edu/hyness/maximal_sat-ltl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bu.edu/hyness/maximal_sat-ltl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lsv.ens-cachan.fr/~gastin/ltl2b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tl2dstar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bu.edu/hyness/maximal_sat-ltl/" TargetMode="External"/><Relationship Id="rId11" Type="http://schemas.openxmlformats.org/officeDocument/2006/relationships/hyperlink" Target="http://www.ltl2dstar.de/docs/ltl2dstar.html" TargetMode="External"/><Relationship Id="rId5" Type="http://schemas.openxmlformats.org/officeDocument/2006/relationships/hyperlink" Target="https://sites.bu.edu/hyness/maximal_sat-ltl/" TargetMode="External"/><Relationship Id="rId15" Type="http://schemas.openxmlformats.org/officeDocument/2006/relationships/hyperlink" Target="http://arxiv.org/abs/1104.1159" TargetMode="External"/><Relationship Id="rId10" Type="http://schemas.openxmlformats.org/officeDocument/2006/relationships/hyperlink" Target="https://sites.bu.edu/hyness/files/2014/07/Maximal_Sat-LTL_code.z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linbelta.com/wp-content/uploads/2024/01/Maximal_Sat-LTL_code.zi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2024-01-01T18:32:00Z</dcterms:created>
  <dcterms:modified xsi:type="dcterms:W3CDTF">2024-01-01T18:35:00Z</dcterms:modified>
</cp:coreProperties>
</file>