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86BD" w14:textId="77777777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  <w:t>Receding Horizon Temporal Logic Control in Dynamic Environments</w:t>
      </w:r>
    </w:p>
    <w:p w14:paraId="799E792D" w14:textId="77777777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36"/>
          <w14:ligatures w14:val="none"/>
        </w:rPr>
      </w:pPr>
    </w:p>
    <w:p w14:paraId="1C8EC539" w14:textId="45A1C030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You can download the Python implementation of the algorithm presented in [1] </w:t>
      </w:r>
      <w:hyperlink r:id="rId5" w:history="1">
        <w:hyperlink r:id="rId6" w:tgtFrame="_blank" w:history="1">
          <w:r w:rsidRPr="006C5185">
            <w:rPr>
              <w:rStyle w:val="Hyperlink"/>
              <w:rFonts w:ascii="Helvetica" w:eastAsia="Times New Roman" w:hAnsi="Helvetica" w:cs="Helvetica"/>
              <w:kern w:val="0"/>
              <w:bdr w:val="none" w:sz="0" w:space="0" w:color="auto" w:frame="1"/>
              <w14:ligatures w14:val="none"/>
            </w:rPr>
            <w:t>here</w:t>
          </w:r>
        </w:hyperlink>
      </w:hyperlink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The zip file already contains the LTL Optimal Multi-Agent Planner (LOMAP) package, which is required by the algorithm.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For more information on LOMAP, see</w:t>
      </w:r>
      <w:r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</w:t>
      </w:r>
      <w:hyperlink r:id="rId7" w:history="1">
        <w:r w:rsidRPr="006C5185">
          <w:rPr>
            <w:rStyle w:val="Hyperlink"/>
            <w:rFonts w:ascii="Helvetica" w:eastAsia="Times New Roman" w:hAnsi="Helvetica" w:cs="Helvetica"/>
            <w:kern w:val="0"/>
            <w14:ligatures w14:val="none"/>
          </w:rPr>
          <w:t>here</w:t>
        </w:r>
      </w:hyperlink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 .</w:t>
      </w:r>
    </w:p>
    <w:p w14:paraId="2332BABF" w14:textId="77777777" w:rsid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2C30D6E7" w14:textId="4F9BB31A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:sz w:val="28"/>
          <w:szCs w:val="28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0"/>
          <w:sz w:val="28"/>
          <w:szCs w:val="28"/>
          <w14:ligatures w14:val="none"/>
        </w:rPr>
        <w:t>How to use:</w:t>
      </w:r>
    </w:p>
    <w:p w14:paraId="7C316E06" w14:textId="77777777" w:rsid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68B1226C" w14:textId="6C33041B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Extract the zip archive.</w:t>
      </w:r>
    </w:p>
    <w:p w14:paraId="6E828683" w14:textId="77777777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Run the </w:t>
      </w:r>
      <w:r w:rsidRPr="006C5185">
        <w:rPr>
          <w:rFonts w:ascii="Helvetica" w:eastAsia="Times New Roman" w:hAnsi="Helvetica" w:cs="Helvetica"/>
          <w:color w:val="333333"/>
          <w:kern w:val="0"/>
          <w:bdr w:val="none" w:sz="0" w:space="0" w:color="auto" w:frame="1"/>
          <w14:ligatures w14:val="none"/>
        </w:rPr>
        <w:t>main.py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 file. If any of the required packages are missing, check the error messages to install them.</w:t>
      </w:r>
    </w:p>
    <w:p w14:paraId="206F4468" w14:textId="77777777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Once run, the implementation should start simulating the second case-study in [1].</w:t>
      </w:r>
    </w:p>
    <w:p w14:paraId="67A00426" w14:textId="77777777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If you want to simulate other case studies, change the </w:t>
      </w:r>
      <w:r w:rsidRPr="006C5185">
        <w:rPr>
          <w:rFonts w:ascii="Helvetica" w:eastAsia="Times New Roman" w:hAnsi="Helvetica" w:cs="Helvetica"/>
          <w:color w:val="333333"/>
          <w:kern w:val="0"/>
          <w:bdr w:val="none" w:sz="0" w:space="0" w:color="auto" w:frame="1"/>
          <w14:ligatures w14:val="none"/>
        </w:rPr>
        <w:t>case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 variable on line 109 of </w:t>
      </w:r>
      <w:r w:rsidRPr="006C5185">
        <w:rPr>
          <w:rFonts w:ascii="Helvetica" w:eastAsia="Times New Roman" w:hAnsi="Helvetica" w:cs="Helvetica"/>
          <w:color w:val="333333"/>
          <w:kern w:val="0"/>
          <w:bdr w:val="none" w:sz="0" w:space="0" w:color="auto" w:frame="1"/>
          <w14:ligatures w14:val="none"/>
        </w:rPr>
        <w:t>main.py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 to </w:t>
      </w:r>
      <w:r w:rsidRPr="006C5185">
        <w:rPr>
          <w:rFonts w:ascii="Helvetica" w:eastAsia="Times New Roman" w:hAnsi="Helvetica" w:cs="Helvetica"/>
          <w:color w:val="333333"/>
          <w:kern w:val="0"/>
          <w:bdr w:val="none" w:sz="0" w:space="0" w:color="auto" w:frame="1"/>
          <w14:ligatures w14:val="none"/>
        </w:rPr>
        <w:t>case1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 or </w:t>
      </w:r>
      <w:r w:rsidRPr="006C5185">
        <w:rPr>
          <w:rFonts w:ascii="Helvetica" w:eastAsia="Times New Roman" w:hAnsi="Helvetica" w:cs="Helvetica"/>
          <w:color w:val="333333"/>
          <w:kern w:val="0"/>
          <w:bdr w:val="none" w:sz="0" w:space="0" w:color="auto" w:frame="1"/>
          <w14:ligatures w14:val="none"/>
        </w:rPr>
        <w:t>case3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</w:p>
    <w:p w14:paraId="1370E06B" w14:textId="77777777" w:rsid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</w:pPr>
    </w:p>
    <w:p w14:paraId="00CC12C1" w14:textId="0F56E3E1" w:rsid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6C5185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Note: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 A preliminary version of this work appeared in [2].</w:t>
      </w:r>
    </w:p>
    <w:p w14:paraId="55CFCDB0" w14:textId="77777777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2FF82DA3" w14:textId="77777777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kern w:val="0"/>
          <w14:ligatures w14:val="none"/>
        </w:rPr>
      </w:pPr>
      <w:r w:rsidRPr="006C5185">
        <w:rPr>
          <w:rFonts w:ascii="Helvetica" w:eastAsia="Times New Roman" w:hAnsi="Helvetica" w:cs="Helvetica"/>
          <w:kern w:val="0"/>
          <w14:ligatures w14:val="none"/>
        </w:rPr>
        <w:pict w14:anchorId="4F3A52C1">
          <v:rect id="_x0000_i1025" style="width:0;height:1.5pt" o:hrstd="t" o:hrnoshade="t" o:hr="t" fillcolor="#333" stroked="f"/>
        </w:pict>
      </w:r>
    </w:p>
    <w:p w14:paraId="73E7D7AE" w14:textId="77777777" w:rsid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5EFB908B" w14:textId="6C5E2CC1" w:rsidR="006C5185" w:rsidRPr="006C5185" w:rsidRDefault="006C5185" w:rsidP="006C5185">
      <w:pPr>
        <w:pStyle w:val="NoSpacing"/>
        <w:spacing w:line="276" w:lineRule="auto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[1] A. Ulusoy, C. </w:t>
      </w:r>
      <w:proofErr w:type="spellStart"/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, “Receding Horizon Temporal Logic Control in Dynamic Environments”, </w:t>
      </w:r>
      <w:r w:rsidRPr="006C5185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International Journal of Robotics Research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, </w:t>
      </w:r>
      <w:r w:rsidRPr="006C5185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to appear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 xml:space="preserve">[2] A. Ulusoy, M. Marrazzo, C. </w:t>
      </w:r>
      <w:proofErr w:type="spellStart"/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, “Receding Horizon Control in Dynamic Environments from Temporal Logic Specifications,” </w:t>
      </w:r>
      <w:r w:rsidRPr="006C5185">
        <w:rPr>
          <w:rFonts w:ascii="Helvetica" w:eastAsia="Times New Roman" w:hAnsi="Helvetica" w:cs="Helvetica"/>
          <w:i/>
          <w:iCs/>
          <w:color w:val="333333"/>
          <w:kern w:val="0"/>
          <w:bdr w:val="none" w:sz="0" w:space="0" w:color="auto" w:frame="1"/>
          <w14:ligatures w14:val="none"/>
        </w:rPr>
        <w:t>Robotics: Science and Systems 2013</w:t>
      </w:r>
      <w:r w:rsidRPr="006C5185">
        <w:rPr>
          <w:rFonts w:ascii="Helvetica" w:eastAsia="Times New Roman" w:hAnsi="Helvetica" w:cs="Helvetica"/>
          <w:color w:val="333333"/>
          <w:kern w:val="0"/>
          <w14:ligatures w14:val="none"/>
        </w:rPr>
        <w:t>, Berlin, Germany, 2013.</w:t>
      </w:r>
    </w:p>
    <w:p w14:paraId="1F85DC48" w14:textId="77777777" w:rsidR="006C5185" w:rsidRPr="006C5185" w:rsidRDefault="006C5185" w:rsidP="006C5185">
      <w:pPr>
        <w:pStyle w:val="NoSpacing"/>
        <w:spacing w:line="276" w:lineRule="auto"/>
        <w:rPr>
          <w:rFonts w:ascii="Helvetica" w:hAnsi="Helvetica" w:cs="Helvetica"/>
        </w:rPr>
      </w:pPr>
    </w:p>
    <w:sectPr w:rsidR="006C5185" w:rsidRPr="006C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E4D2A"/>
    <w:multiLevelType w:val="multilevel"/>
    <w:tmpl w:val="1A0E0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14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5"/>
    <w:rsid w:val="00047716"/>
    <w:rsid w:val="006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3139"/>
  <w15:chartTrackingRefBased/>
  <w15:docId w15:val="{4650F963-4994-496B-8653-FF482AD1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6C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8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C518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C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C5185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6C518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5185"/>
    <w:rPr>
      <w:i/>
      <w:iCs/>
    </w:rPr>
  </w:style>
  <w:style w:type="paragraph" w:styleId="NoSpacing">
    <w:name w:val="No Spacing"/>
    <w:uiPriority w:val="1"/>
    <w:qFormat/>
    <w:rsid w:val="006C51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inbelta.com/wp-content/uploads/2024/01/LOMA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bu.edu/hyness/lomap/" TargetMode="External"/><Relationship Id="rId5" Type="http://schemas.openxmlformats.org/officeDocument/2006/relationships/hyperlink" Target="https://calinbelta.com/wp-content/uploads/2024/01/rhtlc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Ostrom</dc:creator>
  <cp:keywords/>
  <dc:description/>
  <cp:lastModifiedBy>Jed Ostrom</cp:lastModifiedBy>
  <cp:revision>1</cp:revision>
  <dcterms:created xsi:type="dcterms:W3CDTF">2024-01-01T18:29:00Z</dcterms:created>
  <dcterms:modified xsi:type="dcterms:W3CDTF">2024-01-01T18:31:00Z</dcterms:modified>
</cp:coreProperties>
</file>